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95" w:tblpY="2185"/>
        <w:tblOverlap w:val="never"/>
        <w:tblW w:w="99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095"/>
        <w:gridCol w:w="678"/>
        <w:gridCol w:w="477"/>
        <w:gridCol w:w="699"/>
        <w:gridCol w:w="708"/>
        <w:gridCol w:w="709"/>
        <w:gridCol w:w="3969"/>
        <w:gridCol w:w="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设备名称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数量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单位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单价（元）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总价（元）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品牌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主要参数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Style w:val="5"/>
                <w:rFonts w:hint="default"/>
                <w:sz w:val="18"/>
                <w:szCs w:val="18"/>
                <w:highlight w:val="none"/>
                <w:lang w:bidi="ar"/>
              </w:rPr>
              <w:t>LED显示屏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6.195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Style w:val="5"/>
                <w:rFonts w:hint="default"/>
                <w:sz w:val="18"/>
                <w:szCs w:val="18"/>
                <w:highlight w:val="none"/>
                <w:lang w:bidi="ar"/>
              </w:rPr>
              <w:t>㎡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像素间距(mm)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1.25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；像素密度(Dot/m2) 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460000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；LED封装类型 SMD 三合一表贴 1212；像素组成 1R1G1B；模块尺寸W×H(mm) 320×160；模块分辨率</w:t>
            </w:r>
            <w:r>
              <w:rPr>
                <w:rFonts w:hint="eastAsia" w:ascii="宋体" w:hAnsi="宋体" w:cs="宋体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256×128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；白平衡亮度(cd/m2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)0-700可调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；视角V/H(deg.) 160/160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灰度等级(Bit)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≥14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；刷新频率(Hz)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 3840；对比度 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8500:1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；色温(K)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6500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；屏体平均功耗(W/m2)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≤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120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；屏体峰值功耗(W/m2) 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≤300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；维护方式 前/后维护；IP防护等级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 IP60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；工作寿命(H) 100000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1.所提供设备须满足相应的国家、行业规范，满足招标方的功能需要；   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主要参数要求为所有设备所需基础性能，投标人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所提供的设备性能不得低于主要参数要求；   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须提供13%的增值税发票。 4.质保二年。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5.所有报价含必要的安装调试及人员培训费用。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LED接收卡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张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LED视频处理器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套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9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LED播放软件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套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满足视频、音频、图像、文字、Flash、Gif 等形式的媒体文件播放要求</w:t>
            </w: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显示屏开关电源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台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安全可靠，满足相关使用功能。</w:t>
            </w: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配电柜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台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安全可靠，双重开关控制；多组输出回路，具有延时、浪涌保护、过流等保护措施。</w:t>
            </w: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钢结构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套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符合Q235B相关标准，保证强度；</w:t>
            </w: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备品及配件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套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控制电脑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套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品牌电脑23寸液晶，I5处理器，主机自带PCI-E扩展槽及独立显卡。</w:t>
            </w: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无线投屏器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套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企业级4K无线投屏器　大屏配套使用　手机平板电脑投屏操作简便。</w:t>
            </w: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网络机柜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台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网络机柜 1.6米交换机路由器服务器机柜  19英寸标准机柜</w:t>
            </w:r>
            <w:bookmarkStart w:id="0" w:name="_GoBack"/>
            <w:bookmarkEnd w:id="0"/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综合布线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套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根据场地情况科学合理布线并满足招标人最终验收要求。</w:t>
            </w: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总价（元）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含税，税率13%</w:t>
            </w: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</w:tr>
    </w:tbl>
    <w:p>
      <w:pPr>
        <w:jc w:val="center"/>
      </w:pPr>
      <w:r>
        <w:rPr>
          <w:rStyle w:val="6"/>
          <w:rFonts w:hint="eastAsia" w:ascii="宋体" w:hAnsi="宋体" w:eastAsia="宋体" w:cs="黑体"/>
          <w:b/>
          <w:bCs/>
          <w:sz w:val="32"/>
          <w:szCs w:val="32"/>
          <w:highlight w:val="none"/>
        </w:rPr>
        <w:t>新居大厦12楼会议室LED屏幕采购及相关服务报价</w:t>
      </w:r>
      <w:r>
        <w:rPr>
          <w:rStyle w:val="6"/>
          <w:rFonts w:hint="eastAsia" w:ascii="宋体" w:hAnsi="宋体" w:eastAsia="宋体" w:cs="黑体"/>
          <w:b/>
          <w:bCs/>
          <w:sz w:val="32"/>
          <w:szCs w:val="32"/>
        </w:rPr>
        <w:t>单</w:t>
      </w:r>
    </w:p>
    <w:sectPr>
      <w:pgSz w:w="11906" w:h="16838"/>
      <w:pgMar w:top="1440" w:right="595" w:bottom="1440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62CC4"/>
    <w:multiLevelType w:val="multilevel"/>
    <w:tmpl w:val="42062CC4"/>
    <w:lvl w:ilvl="0" w:tentative="0">
      <w:start w:val="1"/>
      <w:numFmt w:val="decimal"/>
      <w:pStyle w:val="2"/>
      <w:suff w:val="nothing"/>
      <w:lvlText w:val="第 %1 部分 "/>
      <w:lvlJc w:val="left"/>
      <w:pPr>
        <w:ind w:left="0" w:firstLine="0"/>
      </w:pPr>
      <w:rPr>
        <w:rFonts w:hint="eastAsia" w:ascii="黑体" w:hAnsi="宋体" w:eastAsia="黑体" w:cs="Times New Roman"/>
        <w:b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isLgl/>
      <w:suff w:val="nothing"/>
      <w:lvlText w:val="%1.%2 "/>
      <w:lvlJc w:val="left"/>
      <w:pPr>
        <w:ind w:left="0" w:firstLine="0"/>
      </w:pPr>
      <w:rPr>
        <w:rFonts w:hint="eastAsia" w:cs="Times New Roman"/>
      </w:rPr>
    </w:lvl>
    <w:lvl w:ilvl="2" w:tentative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eastAsia" w:ascii="Arial Unicode MS" w:hAnsi="Arial Unicode MS" w:eastAsia="Arial Unicode MS" w:cs="Arial Unicode MS"/>
        <w:sz w:val="24"/>
        <w:szCs w:val="24"/>
      </w:rPr>
    </w:lvl>
    <w:lvl w:ilvl="3" w:tentative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eastAsia" w:cs="Times New Roman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0" w:firstLine="0"/>
      </w:pPr>
      <w:rPr>
        <w:rFonts w:hint="eastAsia" w:cs="Times New Roman"/>
        <w:sz w:val="28"/>
        <w:szCs w:val="28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ZGRhYjJhNGY0YzI4MGFmNmQ2OTJiZGJiOTFjY2MifQ=="/>
  </w:docVars>
  <w:rsids>
    <w:rsidRoot w:val="00642B82"/>
    <w:rsid w:val="00237931"/>
    <w:rsid w:val="00572577"/>
    <w:rsid w:val="00642B82"/>
    <w:rsid w:val="006B1051"/>
    <w:rsid w:val="00822CCD"/>
    <w:rsid w:val="00E856ED"/>
    <w:rsid w:val="00FF457B"/>
    <w:rsid w:val="1DBD5DDF"/>
    <w:rsid w:val="4C194A50"/>
    <w:rsid w:val="582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numPr>
        <w:ilvl w:val="0"/>
        <w:numId w:val="1"/>
      </w:numPr>
      <w:spacing w:line="360" w:lineRule="auto"/>
      <w:jc w:val="center"/>
      <w:outlineLvl w:val="0"/>
    </w:pPr>
    <w:rPr>
      <w:rFonts w:ascii="楷体_GB2312" w:eastAsia="楷体_GB2312"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标题 1 字符"/>
    <w:link w:val="2"/>
    <w:autoRedefine/>
    <w:qFormat/>
    <w:uiPriority w:val="0"/>
    <w:rPr>
      <w:rFonts w:ascii="楷体_GB2312" w:eastAsia="楷体_GB2312"/>
      <w:sz w:val="28"/>
      <w:szCs w:val="28"/>
    </w:r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795</Characters>
  <Lines>6</Lines>
  <Paragraphs>1</Paragraphs>
  <TotalTime>17</TotalTime>
  <ScaleCrop>false</ScaleCrop>
  <LinksUpToDate>false</LinksUpToDate>
  <CharactersWithSpaces>933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2024-04-23T04:26:00Z</dcterms:created>
  <dc:creator>xjjt</dc:creator>
  <cp:lastModifiedBy>ヾJudy^</cp:lastModifiedBy>
  <dcterms:modified xsi:type="dcterms:W3CDTF">2024-04-23T08:32:35Z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16C8A57317D0474B85F91C8E3EC822E8_12</vt:lpwstr>
  </property>
</Properties>
</file>